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C63D8E9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110bis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721060">
        <w:rPr>
          <w:rFonts w:ascii="Arial" w:eastAsia="MS Mincho" w:hAnsi="Arial" w:cs="Arial"/>
          <w:b/>
          <w:sz w:val="24"/>
          <w:szCs w:val="24"/>
        </w:rPr>
        <w:t>04455</w:t>
      </w:r>
    </w:p>
    <w:p w14:paraId="0ED16545" w14:textId="0F77CBE8" w:rsidR="0068254F" w:rsidRPr="00881E60" w:rsidRDefault="006B544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Changsha, China, April 15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E4C614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74C7F" w:rsidRPr="00A74C7F">
        <w:rPr>
          <w:rFonts w:ascii="Arial" w:hAnsi="Arial" w:cs="Arial"/>
          <w:b/>
          <w:sz w:val="22"/>
        </w:rPr>
        <w:t>Initial consideration on HPUE for CA in terrestrial network (TN)</w:t>
      </w:r>
    </w:p>
    <w:p w14:paraId="73AD8CE3" w14:textId="429C328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8398A" w:rsidRPr="0008103B">
        <w:rPr>
          <w:rFonts w:ascii="Arial" w:hAnsi="Arial" w:cs="Arial"/>
          <w:b/>
          <w:bCs/>
          <w:sz w:val="22"/>
          <w:lang w:eastAsia="zh-CN"/>
        </w:rPr>
        <w:t>9</w:t>
      </w:r>
      <w:r w:rsidR="00280D59" w:rsidRPr="0008103B">
        <w:rPr>
          <w:rFonts w:ascii="Arial" w:hAnsi="Arial" w:cs="Arial"/>
          <w:b/>
          <w:bCs/>
          <w:sz w:val="22"/>
          <w:lang w:eastAsia="zh-CN"/>
        </w:rPr>
        <w:t>.</w:t>
      </w:r>
      <w:r w:rsidR="0058398A" w:rsidRPr="0008103B">
        <w:rPr>
          <w:rFonts w:ascii="Arial" w:hAnsi="Arial" w:cs="Arial"/>
          <w:b/>
          <w:bCs/>
          <w:sz w:val="22"/>
          <w:lang w:eastAsia="zh-CN"/>
        </w:rPr>
        <w:t>1</w:t>
      </w:r>
      <w:r w:rsidR="00280D59" w:rsidRPr="0008103B">
        <w:rPr>
          <w:rFonts w:ascii="Arial" w:hAnsi="Arial" w:cs="Arial"/>
          <w:b/>
          <w:bCs/>
          <w:sz w:val="22"/>
          <w:lang w:eastAsia="zh-CN"/>
        </w:rPr>
        <w:t>.</w:t>
      </w:r>
      <w:r w:rsidR="0058398A" w:rsidRPr="0008103B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5D72C13D" w:rsidR="006B544A" w:rsidRPr="009E75B4" w:rsidRDefault="009E75B4" w:rsidP="00A94841">
      <w:pPr>
        <w:pStyle w:val="B1"/>
        <w:ind w:left="0" w:firstLine="0"/>
        <w:rPr>
          <w:lang w:val="en-US" w:eastAsia="zh-CN"/>
        </w:rPr>
      </w:pPr>
      <w:r w:rsidRPr="009E75B4">
        <w:rPr>
          <w:lang w:eastAsia="zh-CN"/>
        </w:rPr>
        <w:t>In Releases 17 and 18, power class 2 (PC2 26dBm) was introduced for band combinations featuring uplink (UL) carrier aggregation (CA)/dual connectivity (DC) or EUTRA-NR dual connectivity (EN-DC). Additionally, Release 18 saw the introduction of power class 1.5 (PC1.5) for band combinations featuring a single uplink carrier on a TDD band.</w:t>
      </w:r>
      <w:r w:rsidR="00A65F25">
        <w:rPr>
          <w:lang w:eastAsia="zh-CN"/>
        </w:rPr>
        <w:t xml:space="preserve"> </w:t>
      </w:r>
      <w:r w:rsidR="00A65F25" w:rsidRPr="00A65F25">
        <w:rPr>
          <w:lang w:eastAsia="zh-CN"/>
        </w:rPr>
        <w:t xml:space="preserve">While operators extensively suggested band combinations for NR PC1.5 intra-band contiguous/non-contiguous UL configurations in Release 18, the associated efforts were deferred due to the requirement for new common standards and insufficient </w:t>
      </w:r>
      <w:r w:rsidR="00A65F25">
        <w:rPr>
          <w:lang w:eastAsia="zh-CN"/>
        </w:rPr>
        <w:t>TU</w:t>
      </w:r>
      <w:r w:rsidR="00A65F25" w:rsidRPr="00A65F25">
        <w:rPr>
          <w:lang w:eastAsia="zh-CN"/>
        </w:rPr>
        <w:t xml:space="preserve"> availability.</w:t>
      </w:r>
      <w:r w:rsidR="00A65F25">
        <w:rPr>
          <w:lang w:eastAsia="zh-CN"/>
        </w:rPr>
        <w:t xml:space="preserve"> </w:t>
      </w:r>
      <w:r w:rsidR="00423EEF">
        <w:rPr>
          <w:lang w:eastAsia="zh-CN"/>
        </w:rPr>
        <w:t>In addition, i</w:t>
      </w:r>
      <w:r w:rsidR="00423EEF" w:rsidRPr="00423EEF">
        <w:rPr>
          <w:lang w:eastAsia="zh-CN"/>
        </w:rPr>
        <w:t>mplementing a UE architecture featuring 3Tx across 2 bands could notably enhance uplink transmission power for band combinations compared to 2Tx</w:t>
      </w:r>
      <w:r w:rsidR="00423EEF">
        <w:rPr>
          <w:lang w:eastAsia="zh-CN"/>
        </w:rPr>
        <w:t xml:space="preserve"> which used to be the baseline</w:t>
      </w:r>
      <w:r w:rsidR="00423EEF" w:rsidRPr="00423EEF">
        <w:rPr>
          <w:lang w:eastAsia="zh-CN"/>
        </w:rPr>
        <w:t>. Furthermore, the introduction of 3Tx across 2 bands exclusively for non-handheld devices in Release 18 facilitates uplink MIMO (UL-MIMO) in conjunction with UL CA/DC. Extending 3Tx across 2 bands to handheld devices would offer significant value.</w:t>
      </w:r>
      <w:r w:rsidR="00423EEF">
        <w:rPr>
          <w:lang w:eastAsia="zh-CN"/>
        </w:rPr>
        <w:t xml:space="preserve"> </w:t>
      </w:r>
      <w:r w:rsidR="00423EEF" w:rsidRPr="00423EEF">
        <w:rPr>
          <w:lang w:eastAsia="zh-CN"/>
        </w:rPr>
        <w:t xml:space="preserve">Therefore, RAN#103 </w:t>
      </w:r>
      <w:r w:rsidR="00423EEF">
        <w:rPr>
          <w:lang w:eastAsia="zh-CN"/>
        </w:rPr>
        <w:t>approves</w:t>
      </w:r>
      <w:r w:rsidR="00423EEF" w:rsidRPr="00423EEF">
        <w:rPr>
          <w:lang w:eastAsia="zh-CN"/>
        </w:rPr>
        <w:t xml:space="preserve"> a work item, part of whose objectives are associated with HPUE, as outlined below</w:t>
      </w:r>
      <w:r w:rsidR="00423EEF">
        <w:rPr>
          <w:lang w:eastAsia="zh-CN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94841" w:rsidRPr="00423EEF" w14:paraId="435A039A" w14:textId="77777777" w:rsidTr="00A94841">
        <w:tc>
          <w:tcPr>
            <w:tcW w:w="10457" w:type="dxa"/>
          </w:tcPr>
          <w:p w14:paraId="69014C91" w14:textId="77777777" w:rsidR="00423EEF" w:rsidRPr="00423EEF" w:rsidRDefault="00423EEF" w:rsidP="00423EEF">
            <w:pPr>
              <w:rPr>
                <w:i/>
                <w:iCs/>
                <w:lang w:eastAsia="zh-CN"/>
              </w:rPr>
            </w:pPr>
            <w:r w:rsidRPr="00423EEF">
              <w:rPr>
                <w:b/>
                <w:i/>
                <w:iCs/>
              </w:rPr>
              <w:t>High power UE (HPUE) for CA in terrestrial network (TN)</w:t>
            </w:r>
          </w:p>
          <w:p w14:paraId="71E33349" w14:textId="77777777" w:rsidR="00423EEF" w:rsidRPr="00423EEF" w:rsidRDefault="00423EEF" w:rsidP="00423EEF">
            <w:pPr>
              <w:pStyle w:val="ListParagraph"/>
              <w:widowControl w:val="0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rFonts w:hint="eastAsia"/>
                <w:i/>
                <w:iCs/>
              </w:rPr>
              <w:t xml:space="preserve">Specify the generic requirements of </w:t>
            </w:r>
            <w:proofErr w:type="gramStart"/>
            <w:r w:rsidRPr="00423EEF">
              <w:rPr>
                <w:rFonts w:hint="eastAsia"/>
                <w:i/>
                <w:iCs/>
              </w:rPr>
              <w:t>high power</w:t>
            </w:r>
            <w:proofErr w:type="gramEnd"/>
            <w:r w:rsidRPr="00423EEF">
              <w:rPr>
                <w:rFonts w:hint="eastAsia"/>
                <w:i/>
                <w:iCs/>
              </w:rPr>
              <w:t xml:space="preserve"> UE (HPUE)</w:t>
            </w:r>
            <w:r w:rsidRPr="00423EEF">
              <w:rPr>
                <w:i/>
                <w:iCs/>
              </w:rPr>
              <w:t xml:space="preserve"> for NR uplink (UL) CA in FR1 and EN-DC with NR FR1 bands</w:t>
            </w:r>
          </w:p>
          <w:p w14:paraId="343364D7" w14:textId="77777777" w:rsidR="00423EEF" w:rsidRPr="00423EEF" w:rsidRDefault="00423EEF" w:rsidP="00423EEF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Power class 1.5 (PC1.5) UE for NR TDD intra-band UL contiguous and non-contiguous CA with 2Tx</w:t>
            </w:r>
          </w:p>
          <w:p w14:paraId="32B0668C" w14:textId="77777777" w:rsidR="00423EEF" w:rsidRPr="00423EEF" w:rsidRDefault="00423EEF" w:rsidP="00423EEF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Specify the requirements for intra-band UL contiguous CA with or without UL-MIMO</w:t>
            </w:r>
          </w:p>
          <w:p w14:paraId="345AC58D" w14:textId="77777777" w:rsidR="00423EEF" w:rsidRPr="00423EEF" w:rsidRDefault="00423EEF" w:rsidP="00423EEF">
            <w:pPr>
              <w:pStyle w:val="ListParagraph"/>
              <w:widowControl w:val="0"/>
              <w:numPr>
                <w:ilvl w:val="3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 xml:space="preserve">Example band combinations: </w:t>
            </w:r>
          </w:p>
          <w:p w14:paraId="19599102" w14:textId="77777777" w:rsidR="00423EEF" w:rsidRPr="00423EEF" w:rsidRDefault="00423EEF" w:rsidP="00423EEF">
            <w:pPr>
              <w:pStyle w:val="ListParagraph"/>
              <w:widowControl w:val="0"/>
              <w:numPr>
                <w:ilvl w:val="4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CA_n41C, CA_n78C, CA_n77C, CA_n79C for intra-band uplink contiguous CA configurations</w:t>
            </w:r>
          </w:p>
          <w:p w14:paraId="1C1CCAF4" w14:textId="77777777" w:rsidR="00423EEF" w:rsidRPr="00423EEF" w:rsidRDefault="00423EEF" w:rsidP="00423EEF">
            <w:pPr>
              <w:pStyle w:val="ListParagraph"/>
              <w:widowControl w:val="0"/>
              <w:numPr>
                <w:ilvl w:val="3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Focus on the maximum output power (MOP), MPR/A-MPR requirements, SAR solution</w:t>
            </w:r>
          </w:p>
          <w:p w14:paraId="17A2A239" w14:textId="77777777" w:rsidR="00423EEF" w:rsidRPr="00423EEF" w:rsidRDefault="00423EEF" w:rsidP="00423EEF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Specify the requirements for intra-band UL non-contiguous CA without UL-MIMO</w:t>
            </w:r>
          </w:p>
          <w:p w14:paraId="5536254B" w14:textId="77777777" w:rsidR="00423EEF" w:rsidRPr="00423EEF" w:rsidRDefault="00423EEF" w:rsidP="00423EEF">
            <w:pPr>
              <w:pStyle w:val="ListParagraph"/>
              <w:widowControl w:val="0"/>
              <w:numPr>
                <w:ilvl w:val="3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 xml:space="preserve">Example band combinations: </w:t>
            </w:r>
          </w:p>
          <w:p w14:paraId="19419E1E" w14:textId="77777777" w:rsidR="00423EEF" w:rsidRPr="00423EEF" w:rsidRDefault="00423EEF" w:rsidP="00423EEF">
            <w:pPr>
              <w:pStyle w:val="ListParagraph"/>
              <w:widowControl w:val="0"/>
              <w:numPr>
                <w:ilvl w:val="4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CA_n78(2A), CA_n77(2A) for intra-band uplink non-contiguous CA configurations</w:t>
            </w:r>
          </w:p>
          <w:p w14:paraId="055B9FA5" w14:textId="77777777" w:rsidR="00423EEF" w:rsidRPr="00423EEF" w:rsidRDefault="00423EEF" w:rsidP="00423EEF">
            <w:pPr>
              <w:pStyle w:val="ListParagraph"/>
              <w:widowControl w:val="0"/>
              <w:numPr>
                <w:ilvl w:val="3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Focus on the maximum output power (MOP), MPR/A-MPR requirements, SAR solution</w:t>
            </w:r>
          </w:p>
          <w:p w14:paraId="27084001" w14:textId="77777777" w:rsidR="00423EEF" w:rsidRPr="00423EEF" w:rsidRDefault="00423EEF" w:rsidP="00423EEF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NOTE: leave the other band combination specific requirements to the corresponding Rel-19 basket WIs</w:t>
            </w:r>
          </w:p>
          <w:p w14:paraId="028C2FA6" w14:textId="77777777" w:rsidR="00423EEF" w:rsidRPr="00423EEF" w:rsidRDefault="00423EEF" w:rsidP="00423EEF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PC1.5 UE for two band NR inter-band uplink CA with 2Tx and/or 3Tx for handheld and FWA, and PC1.5 and PC2 for two band EN-DC with 2Tx and/or 3Tx for handheld and FWA</w:t>
            </w:r>
          </w:p>
          <w:p w14:paraId="570C9924" w14:textId="77777777" w:rsidR="00423EEF" w:rsidRPr="00423EEF" w:rsidRDefault="00423EEF" w:rsidP="00423EEF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Focus on the SAR solution</w:t>
            </w:r>
          </w:p>
          <w:p w14:paraId="195BEFDF" w14:textId="77777777" w:rsidR="00423EEF" w:rsidRPr="00423EEF" w:rsidRDefault="00423EEF" w:rsidP="00423EEF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Enable power class 2 (PC2) and PC1.5 of two band inter-band uplink CA and EN-DC with 3Tx for handheld UE</w:t>
            </w:r>
          </w:p>
          <w:p w14:paraId="770DF6CE" w14:textId="77777777" w:rsidR="00423EEF" w:rsidRPr="00423EEF" w:rsidRDefault="00423EEF" w:rsidP="00423EEF">
            <w:pPr>
              <w:pStyle w:val="ListParagraph"/>
              <w:widowControl w:val="0"/>
              <w:numPr>
                <w:ilvl w:val="3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Identify and update the requirements if necessary</w:t>
            </w:r>
          </w:p>
          <w:p w14:paraId="6DC230E6" w14:textId="77777777" w:rsidR="00423EEF" w:rsidRPr="00423EEF" w:rsidRDefault="00423EEF" w:rsidP="00423EEF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 xml:space="preserve">Only PC3 is considered for LTE FDD in EN-DC </w:t>
            </w:r>
          </w:p>
          <w:p w14:paraId="4DDACF54" w14:textId="77777777" w:rsidR="00423EEF" w:rsidRPr="00423EEF" w:rsidRDefault="00423EEF" w:rsidP="00423EEF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NOTE: leave the band combination specific requirements, e.g., MSD to the corresponding Rel-19 basket WIs</w:t>
            </w:r>
          </w:p>
          <w:p w14:paraId="5E50B962" w14:textId="77777777" w:rsidR="00423EEF" w:rsidRPr="00423EEF" w:rsidRDefault="00423EEF" w:rsidP="00423EEF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Investigate and if feasible, support increasing UE transmission power limit up to the sum of maximum output power per band for NR inter-band uplink CA and EN-DC HPUE with the different existing power classes which have already been specified</w:t>
            </w:r>
          </w:p>
          <w:p w14:paraId="59E4C5B5" w14:textId="77777777" w:rsidR="00423EEF" w:rsidRPr="00423EEF" w:rsidRDefault="00423EEF" w:rsidP="00423EEF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Introduce the signaling to support the above objectives, if needed.</w:t>
            </w:r>
          </w:p>
          <w:p w14:paraId="2A0600D0" w14:textId="5B71E757" w:rsidR="00A94841" w:rsidRPr="00423EEF" w:rsidRDefault="00423EEF" w:rsidP="00A94841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i/>
                <w:iCs/>
              </w:rPr>
            </w:pPr>
            <w:r w:rsidRPr="00423EEF">
              <w:rPr>
                <w:i/>
                <w:iCs/>
              </w:rPr>
              <w:t>Consider release independency, if needed</w:t>
            </w:r>
          </w:p>
        </w:tc>
      </w:tr>
    </w:tbl>
    <w:p w14:paraId="4BBA5EAE" w14:textId="2E76CDDE" w:rsidR="006B544A" w:rsidRDefault="00825156" w:rsidP="00790A3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As we proposed in our contribution, </w:t>
      </w:r>
      <w:r w:rsidRPr="00825156">
        <w:rPr>
          <w:lang w:eastAsia="zh-CN"/>
        </w:rPr>
        <w:t>an efficient way should be developed to specify HPUE with consideration of UL configurations, UL Tx architecture, form-factors, duplex modes, higher power limit, Tx power backoff behavior, etc</w:t>
      </w:r>
      <w:r>
        <w:rPr>
          <w:lang w:eastAsia="zh-CN"/>
        </w:rPr>
        <w:t xml:space="preserve">. </w:t>
      </w:r>
      <w:r w:rsidR="00C32A21">
        <w:rPr>
          <w:lang w:eastAsia="zh-CN"/>
        </w:rPr>
        <w:t>In particular, UL configuration (Sub-clause 5.5A.3) is partly overlapped with maximum output power (Sub-clause 6.2</w:t>
      </w:r>
      <w:proofErr w:type="gramStart"/>
      <w:r w:rsidR="00C32A21">
        <w:rPr>
          <w:lang w:eastAsia="zh-CN"/>
        </w:rPr>
        <w:t>A.</w:t>
      </w:r>
      <w:r w:rsidR="00790A3D">
        <w:rPr>
          <w:lang w:eastAsia="zh-CN"/>
        </w:rPr>
        <w:t>In</w:t>
      </w:r>
      <w:proofErr w:type="gramEnd"/>
      <w:r w:rsidR="00790A3D">
        <w:rPr>
          <w:lang w:eastAsia="zh-CN"/>
        </w:rPr>
        <w:t xml:space="preserve"> this contribution, we discuss a possible improvement </w:t>
      </w:r>
      <w:r>
        <w:rPr>
          <w:lang w:eastAsia="zh-CN"/>
        </w:rPr>
        <w:t>for this purpose</w:t>
      </w:r>
      <w:r w:rsidR="00790A3D">
        <w:rPr>
          <w:lang w:eastAsia="zh-CN"/>
        </w:rPr>
        <w:t>.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74140C72" w14:textId="0BD2074C" w:rsidR="00163132" w:rsidRDefault="00941785" w:rsidP="00F85FD3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3Tx non-handheld normative works in Rel-18, the specs are split in to two clauses:</w:t>
      </w:r>
    </w:p>
    <w:p w14:paraId="199451E7" w14:textId="7F5B3C4D" w:rsidR="00941785" w:rsidRDefault="00941785" w:rsidP="00941785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For 3Tx 2 bands inter-band CA with UL-MIMO (i.e., 1Tx @ Band A + 2Tx UL-MIMO @ Band B), re-us</w:t>
      </w:r>
      <w:r w:rsidR="00D21684">
        <w:rPr>
          <w:lang w:eastAsia="zh-CN"/>
        </w:rPr>
        <w:t>e</w:t>
      </w:r>
      <w:r>
        <w:rPr>
          <w:lang w:eastAsia="zh-CN"/>
        </w:rPr>
        <w:t xml:space="preserve"> </w:t>
      </w:r>
      <w:r w:rsidR="00D21684">
        <w:rPr>
          <w:lang w:eastAsia="zh-CN"/>
        </w:rPr>
        <w:t xml:space="preserve">existing </w:t>
      </w:r>
      <w:r>
        <w:rPr>
          <w:lang w:eastAsia="zh-CN"/>
        </w:rPr>
        <w:t>clauses with suffix</w:t>
      </w:r>
      <w:proofErr w:type="gramStart"/>
      <w:r>
        <w:rPr>
          <w:lang w:eastAsia="zh-CN"/>
        </w:rPr>
        <w:t>-“</w:t>
      </w:r>
      <w:proofErr w:type="gramEnd"/>
      <w:r>
        <w:rPr>
          <w:lang w:eastAsia="zh-CN"/>
        </w:rPr>
        <w:t>H” which only contains intra-band CA with UL-MIMO before.</w:t>
      </w:r>
    </w:p>
    <w:p w14:paraId="63608415" w14:textId="09FE919C" w:rsidR="00941785" w:rsidRDefault="00941785" w:rsidP="00941785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lastRenderedPageBreak/>
        <w:t>For 3Tx 2 bands inter-band CA with TxD (i.e., 1Tx @ Band A + 2Tx TxD @ Band B), new sections are created with suffix</w:t>
      </w:r>
      <w:proofErr w:type="gramStart"/>
      <w:r>
        <w:rPr>
          <w:lang w:eastAsia="zh-CN"/>
        </w:rPr>
        <w:t>-“</w:t>
      </w:r>
      <w:proofErr w:type="gramEnd"/>
      <w:r>
        <w:rPr>
          <w:lang w:eastAsia="zh-CN"/>
        </w:rPr>
        <w:t>L”</w:t>
      </w:r>
      <w:r w:rsidR="00D21684">
        <w:rPr>
          <w:lang w:eastAsia="zh-CN"/>
        </w:rPr>
        <w:t>.</w:t>
      </w:r>
    </w:p>
    <w:p w14:paraId="5EF54BE1" w14:textId="390B2974" w:rsidR="006422A0" w:rsidRDefault="00C32A21" w:rsidP="006422A0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supported power class for a band combination, each of two clauses actually inherits the way previously, i.e., UL configurations are specified in Sub-clause 5.5A with notes indicating the power class, and the maximum output power of UL configurations with two simultaneous UL bands are further specified in Sub-clause 6.2A.</w:t>
      </w:r>
      <w:r w:rsidR="006C4ABC">
        <w:rPr>
          <w:lang w:eastAsia="zh-CN"/>
        </w:rPr>
        <w:t xml:space="preserve"> For example, for inter-band CA_n1A-n41A, PC2 support is specified via:</w:t>
      </w:r>
    </w:p>
    <w:p w14:paraId="118A7CC1" w14:textId="63F9D500" w:rsidR="006C4ABC" w:rsidRDefault="006C4ABC" w:rsidP="006C4ABC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Sub-clause 5.5A.3:</w:t>
      </w:r>
    </w:p>
    <w:p w14:paraId="623C30E5" w14:textId="283136AD" w:rsidR="006C4ABC" w:rsidRDefault="006C4ABC" w:rsidP="006C4ABC">
      <w:pPr>
        <w:pStyle w:val="B1"/>
        <w:rPr>
          <w:lang w:eastAsia="zh-CN"/>
        </w:rPr>
      </w:pPr>
      <w:r w:rsidRPr="006C4ABC">
        <w:rPr>
          <w:noProof/>
          <w:lang w:eastAsia="zh-CN"/>
        </w:rPr>
        <w:drawing>
          <wp:inline distT="0" distB="0" distL="0" distR="0" wp14:anchorId="60A070F3" wp14:editId="71F58D75">
            <wp:extent cx="6646545" cy="690880"/>
            <wp:effectExtent l="0" t="0" r="1905" b="0"/>
            <wp:docPr id="17057267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CEA2C" w14:textId="2276D31A" w:rsidR="006C4ABC" w:rsidRDefault="006C4ABC" w:rsidP="006C4ABC">
      <w:pPr>
        <w:pStyle w:val="B1"/>
        <w:rPr>
          <w:lang w:eastAsia="zh-CN"/>
        </w:rPr>
      </w:pPr>
      <w:r w:rsidRPr="006C4ABC">
        <w:rPr>
          <w:noProof/>
          <w:lang w:eastAsia="zh-CN"/>
        </w:rPr>
        <w:drawing>
          <wp:inline distT="0" distB="0" distL="0" distR="0" wp14:anchorId="1C4DD90F" wp14:editId="6D272EB3">
            <wp:extent cx="6646545" cy="413385"/>
            <wp:effectExtent l="0" t="0" r="1905" b="5715"/>
            <wp:docPr id="4105170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49AFC" w14:textId="3342BE16" w:rsidR="006C4ABC" w:rsidRDefault="006C4ABC" w:rsidP="006C4ABC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Sub-clause 6.2A.1.3:</w:t>
      </w:r>
    </w:p>
    <w:p w14:paraId="768DD8C4" w14:textId="4624D0C1" w:rsidR="006C4ABC" w:rsidRDefault="006C4ABC" w:rsidP="006422A0">
      <w:pPr>
        <w:pStyle w:val="B1"/>
        <w:ind w:left="0" w:firstLine="0"/>
        <w:rPr>
          <w:lang w:eastAsia="zh-CN"/>
        </w:rPr>
      </w:pPr>
      <w:r w:rsidRPr="006C4ABC">
        <w:rPr>
          <w:noProof/>
          <w:lang w:eastAsia="zh-CN"/>
        </w:rPr>
        <w:drawing>
          <wp:inline distT="0" distB="0" distL="0" distR="0" wp14:anchorId="33202E8C" wp14:editId="26EDCBC2">
            <wp:extent cx="6646545" cy="2246630"/>
            <wp:effectExtent l="0" t="0" r="1905" b="1270"/>
            <wp:docPr id="15528628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24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D6AE6" w14:textId="0838B5F1" w:rsidR="006B544A" w:rsidRDefault="007A3EB4" w:rsidP="003E08FC">
      <w:pPr>
        <w:pStyle w:val="B1"/>
        <w:rPr>
          <w:lang w:eastAsia="zh-CN"/>
        </w:rPr>
      </w:pPr>
      <w:r w:rsidRPr="007A3EB4">
        <w:rPr>
          <w:noProof/>
          <w:lang w:eastAsia="zh-CN"/>
        </w:rPr>
        <w:drawing>
          <wp:inline distT="0" distB="0" distL="0" distR="0" wp14:anchorId="2E06E478" wp14:editId="25AD6642">
            <wp:extent cx="6396355" cy="152400"/>
            <wp:effectExtent l="0" t="0" r="4445" b="0"/>
            <wp:docPr id="104960047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3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BF69C" w14:textId="4FC4C6C3" w:rsidR="00BD461C" w:rsidRDefault="00BA3713" w:rsidP="007A3EB4">
      <w:pPr>
        <w:pStyle w:val="B1"/>
        <w:ind w:left="0" w:firstLine="0"/>
        <w:rPr>
          <w:lang w:eastAsia="zh-CN"/>
        </w:rPr>
      </w:pPr>
      <w:r w:rsidRPr="00BA3713">
        <w:rPr>
          <w:lang w:eastAsia="zh-CN"/>
        </w:rPr>
        <w:t xml:space="preserve">This approach results in the </w:t>
      </w:r>
      <w:r w:rsidR="00A10E31">
        <w:rPr>
          <w:lang w:eastAsia="zh-CN"/>
        </w:rPr>
        <w:t xml:space="preserve">relative </w:t>
      </w:r>
      <w:r w:rsidRPr="00BA3713">
        <w:rPr>
          <w:lang w:eastAsia="zh-CN"/>
        </w:rPr>
        <w:t>content being dispersed and somewhat redundant throughout the specification, leading to issues with inconvenience, lack of conciseness, and maintenance difficulties.</w:t>
      </w:r>
    </w:p>
    <w:p w14:paraId="5E934B5C" w14:textId="2FED6D9E" w:rsidR="00BA3713" w:rsidRDefault="00BA3713" w:rsidP="007A3EB4">
      <w:pPr>
        <w:pStyle w:val="B1"/>
        <w:ind w:left="0" w:firstLine="0"/>
        <w:rPr>
          <w:lang w:eastAsia="zh-CN"/>
        </w:rPr>
      </w:pPr>
      <w:r>
        <w:rPr>
          <w:lang w:eastAsia="zh-CN"/>
        </w:rPr>
        <w:t>In order to resolve this issue, one possible way is to keep all power class information at maximum output power section (Sub-clause 6.2A) and add a generic description on UL configuration in system parameter part (Sub-clause 5.5A) indicating that the power class of a two simultaneous UL bands’ configuration refers to the corresponding maximum output power section thus these notes can be removed.</w:t>
      </w:r>
    </w:p>
    <w:p w14:paraId="2062A02E" w14:textId="09CC72B4" w:rsidR="00BA3713" w:rsidRPr="00FD400B" w:rsidRDefault="00DD79F5" w:rsidP="00DD79F5">
      <w:pPr>
        <w:pStyle w:val="B1"/>
        <w:ind w:left="900" w:hanging="900"/>
        <w:rPr>
          <w:b/>
          <w:bCs/>
          <w:lang w:eastAsia="zh-CN"/>
        </w:rPr>
      </w:pPr>
      <w:r w:rsidRPr="00FD400B">
        <w:rPr>
          <w:b/>
          <w:bCs/>
          <w:lang w:eastAsia="zh-CN"/>
        </w:rPr>
        <w:t>Proposal 1: In Rel-19 HPUE works, RAN4 to enhance the specifications concerning the power class capability of band combinations in a manner that eliminates dispersion and redundancy, avoids inconvenience, ensures conciseness, and eases maintenance challenges.</w:t>
      </w:r>
    </w:p>
    <w:p w14:paraId="5217E953" w14:textId="77777777" w:rsidR="00DD79F5" w:rsidRDefault="00DD79F5" w:rsidP="007A3EB4">
      <w:pPr>
        <w:pStyle w:val="B1"/>
        <w:ind w:left="0" w:firstLine="0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2C835B58" w:rsidR="006B544A" w:rsidRDefault="00DD79F5" w:rsidP="00DD79F5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 for specifying HPUE in Rel-19:</w:t>
      </w:r>
    </w:p>
    <w:p w14:paraId="3808967F" w14:textId="77777777" w:rsidR="00B11439" w:rsidRPr="00FD400B" w:rsidRDefault="00B11439" w:rsidP="00B11439">
      <w:pPr>
        <w:pStyle w:val="B1"/>
        <w:ind w:left="900" w:hanging="900"/>
        <w:rPr>
          <w:b/>
          <w:bCs/>
          <w:lang w:eastAsia="zh-CN"/>
        </w:rPr>
      </w:pPr>
      <w:r w:rsidRPr="00FD400B">
        <w:rPr>
          <w:b/>
          <w:bCs/>
          <w:lang w:eastAsia="zh-CN"/>
        </w:rPr>
        <w:t>Proposal 1: In Rel-19 HPUE works, RAN4 to enhance the specifications concerning the power class capability of band combinations in a manner that eliminates dispersion and redundancy, avoids inconvenience, ensures conciseness, and eases maintenance challenges.</w:t>
      </w:r>
    </w:p>
    <w:p w14:paraId="23796CAD" w14:textId="77777777" w:rsidR="00DD79F5" w:rsidRDefault="00DD79F5" w:rsidP="00DD79F5">
      <w:pPr>
        <w:pStyle w:val="B1"/>
        <w:ind w:left="0" w:firstLine="0"/>
        <w:rPr>
          <w:lang w:eastAsia="zh-CN"/>
        </w:rPr>
      </w:pP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12AA42CB" w14:textId="54F5A1EE" w:rsidR="006B544A" w:rsidRDefault="006B544A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</w:t>
      </w:r>
      <w:r w:rsidR="006B41FA">
        <w:rPr>
          <w:lang w:eastAsia="zh-CN"/>
        </w:rPr>
        <w:t>P</w:t>
      </w:r>
      <w:r>
        <w:rPr>
          <w:lang w:eastAsia="zh-CN"/>
        </w:rPr>
        <w:t>-</w:t>
      </w:r>
      <w:r w:rsidR="006B41FA">
        <w:rPr>
          <w:lang w:eastAsia="zh-CN"/>
        </w:rPr>
        <w:t>24082</w:t>
      </w:r>
      <w:r w:rsidR="00423EEF">
        <w:rPr>
          <w:lang w:eastAsia="zh-CN"/>
        </w:rPr>
        <w:t>8</w:t>
      </w:r>
      <w:r w:rsidR="006B41FA">
        <w:rPr>
          <w:lang w:eastAsia="zh-CN"/>
        </w:rPr>
        <w:t xml:space="preserve">, </w:t>
      </w:r>
      <w:r w:rsidR="00423EEF" w:rsidRPr="00423EEF">
        <w:rPr>
          <w:lang w:eastAsia="zh-CN"/>
        </w:rPr>
        <w:t>New WID: UE RF enhancements for NR FR1/FR2 and EN-DC, Phase 4</w:t>
      </w:r>
      <w:r w:rsidR="00423EEF">
        <w:rPr>
          <w:lang w:eastAsia="zh-CN"/>
        </w:rPr>
        <w:t>, RAN4 Chair (Huawei)</w:t>
      </w:r>
      <w:r w:rsidR="006B41FA">
        <w:rPr>
          <w:lang w:eastAsia="zh-CN"/>
        </w:rPr>
        <w:t>.</w:t>
      </w:r>
    </w:p>
    <w:p w14:paraId="6CD2F194" w14:textId="7A155D7C" w:rsidR="006B544A" w:rsidRDefault="00863BAD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lastRenderedPageBreak/>
        <w:t xml:space="preserve">RP-240394, </w:t>
      </w:r>
      <w:r w:rsidRPr="00863BAD">
        <w:rPr>
          <w:lang w:eastAsia="zh-CN"/>
        </w:rPr>
        <w:t>Views on Rel-19 UE RF topics</w:t>
      </w:r>
      <w:r>
        <w:rPr>
          <w:lang w:eastAsia="zh-CN"/>
        </w:rPr>
        <w:t>, CATT</w:t>
      </w:r>
    </w:p>
    <w:p w14:paraId="184691F1" w14:textId="062153CC" w:rsidR="00CB757F" w:rsidRDefault="00CB757F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R4-2321763, </w:t>
      </w:r>
      <w:r w:rsidRPr="00CB757F">
        <w:rPr>
          <w:lang w:eastAsia="zh-CN"/>
        </w:rPr>
        <w:t>R18 38101-1 CR for 3Tx inter-band CA</w:t>
      </w:r>
      <w:r>
        <w:rPr>
          <w:lang w:eastAsia="zh-CN"/>
        </w:rPr>
        <w:t>, OPPO et</w:t>
      </w:r>
      <w:r w:rsidR="00692F87">
        <w:rPr>
          <w:lang w:eastAsia="zh-CN"/>
        </w:rPr>
        <w:t xml:space="preserve"> al. </w:t>
      </w: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47163D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B772A" w14:textId="77777777" w:rsidR="0047163D" w:rsidRPr="00A10429" w:rsidRDefault="0047163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CEB5092" w14:textId="77777777" w:rsidR="0047163D" w:rsidRPr="00A10429" w:rsidRDefault="0047163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EF324" w14:textId="77777777" w:rsidR="0047163D" w:rsidRPr="00A10429" w:rsidRDefault="0047163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761ABF2" w14:textId="77777777" w:rsidR="0047163D" w:rsidRPr="00A10429" w:rsidRDefault="0047163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E8047E"/>
    <w:multiLevelType w:val="hybridMultilevel"/>
    <w:tmpl w:val="843C93DC"/>
    <w:lvl w:ilvl="0" w:tplc="AF2A8F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801542"/>
    <w:multiLevelType w:val="hybridMultilevel"/>
    <w:tmpl w:val="FE9AED78"/>
    <w:lvl w:ilvl="0" w:tplc="21621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8568">
    <w:abstractNumId w:val="26"/>
  </w:num>
  <w:num w:numId="2" w16cid:durableId="767700499">
    <w:abstractNumId w:val="15"/>
  </w:num>
  <w:num w:numId="3" w16cid:durableId="980884213">
    <w:abstractNumId w:val="25"/>
  </w:num>
  <w:num w:numId="4" w16cid:durableId="1846701611">
    <w:abstractNumId w:val="14"/>
  </w:num>
  <w:num w:numId="5" w16cid:durableId="699012852">
    <w:abstractNumId w:val="6"/>
  </w:num>
  <w:num w:numId="6" w16cid:durableId="1450201014">
    <w:abstractNumId w:val="20"/>
  </w:num>
  <w:num w:numId="7" w16cid:durableId="1073939429">
    <w:abstractNumId w:val="5"/>
  </w:num>
  <w:num w:numId="8" w16cid:durableId="214005466">
    <w:abstractNumId w:val="19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4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8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7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11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1290436546">
    <w:abstractNumId w:val="4"/>
  </w:num>
  <w:num w:numId="33" w16cid:durableId="1128280257">
    <w:abstractNumId w:val="22"/>
  </w:num>
  <w:num w:numId="34" w16cid:durableId="2085488100">
    <w:abstractNumId w:val="2"/>
  </w:num>
  <w:num w:numId="35" w16cid:durableId="1256326998">
    <w:abstractNumId w:val="28"/>
  </w:num>
  <w:num w:numId="36" w16cid:durableId="202698183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3B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6AC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25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EEF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3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2A0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77E2D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F87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1FA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ABC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060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A3D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EB4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156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BAD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785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5B4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E31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0AF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5F25"/>
    <w:rsid w:val="00A661D4"/>
    <w:rsid w:val="00A669CE"/>
    <w:rsid w:val="00A71438"/>
    <w:rsid w:val="00A71D07"/>
    <w:rsid w:val="00A74C7F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439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13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61C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A21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861"/>
    <w:rsid w:val="00CB3688"/>
    <w:rsid w:val="00CB4720"/>
    <w:rsid w:val="00CB4CB0"/>
    <w:rsid w:val="00CB5DA3"/>
    <w:rsid w:val="00CB62C9"/>
    <w:rsid w:val="00CB7567"/>
    <w:rsid w:val="00CB757F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1684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9F5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C08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5FD3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0B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423E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25</cp:revision>
  <dcterms:created xsi:type="dcterms:W3CDTF">2024-04-07T15:18:00Z</dcterms:created>
  <dcterms:modified xsi:type="dcterms:W3CDTF">2024-04-08T07:04:00Z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